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3E19" w14:textId="78A04EED" w:rsidR="00A53D96" w:rsidRPr="00C56F19" w:rsidRDefault="00C85816" w:rsidP="00C56F19">
      <w:pPr>
        <w:pStyle w:val="Heading1"/>
      </w:pPr>
      <w:r w:rsidRPr="00C56F19">
        <w:t>Position Description: Member of Board of Directors</w:t>
      </w:r>
    </w:p>
    <w:p w14:paraId="3900D668" w14:textId="69FAC699" w:rsidR="00C85816" w:rsidRDefault="00C85816" w:rsidP="00C85816">
      <w:pPr>
        <w:jc w:val="center"/>
        <w:rPr>
          <w:rFonts w:ascii="Arial Narrow" w:hAnsi="Arial Narrow"/>
        </w:rPr>
      </w:pPr>
    </w:p>
    <w:p w14:paraId="030FC50D" w14:textId="5BCA34D6" w:rsidR="00C85816" w:rsidRDefault="00327AB5" w:rsidP="00C56F19">
      <w:pPr>
        <w:pStyle w:val="Heading2"/>
      </w:pPr>
      <w:r w:rsidRPr="00C56F19">
        <w:t>S</w:t>
      </w:r>
      <w:r w:rsidR="00C85816" w:rsidRPr="00C56F19">
        <w:t>ummary</w:t>
      </w:r>
      <w:r w:rsidR="00C85816">
        <w:t xml:space="preserve">: </w:t>
      </w:r>
    </w:p>
    <w:p w14:paraId="342B43DF" w14:textId="027CAEBF" w:rsidR="00C85816" w:rsidRDefault="00C85816" w:rsidP="00C85816">
      <w:pPr>
        <w:rPr>
          <w:rFonts w:ascii="Arial Narrow" w:hAnsi="Arial Narrow"/>
        </w:rPr>
      </w:pPr>
    </w:p>
    <w:p w14:paraId="0AC2B670" w14:textId="455B521F" w:rsidR="00502DE3" w:rsidRDefault="00327AB5" w:rsidP="00502DE3">
      <w:pPr>
        <w:rPr>
          <w:rFonts w:ascii="Arial Narrow" w:hAnsi="Arial Narrow"/>
        </w:rPr>
      </w:pPr>
      <w:r w:rsidRPr="7F94D3D8">
        <w:rPr>
          <w:rFonts w:ascii="Arial Narrow" w:hAnsi="Arial Narrow"/>
        </w:rPr>
        <w:t>The Board oversees the business and affairs of FHLBank Boston.</w:t>
      </w:r>
      <w:r w:rsidR="00502DE3" w:rsidRPr="7F94D3D8">
        <w:rPr>
          <w:rFonts w:ascii="Arial Narrow" w:hAnsi="Arial Narrow"/>
        </w:rPr>
        <w:t xml:space="preserve"> It is responsible for</w:t>
      </w:r>
      <w:r w:rsidR="004C3CA3">
        <w:rPr>
          <w:rFonts w:ascii="Arial Narrow" w:hAnsi="Arial Narrow"/>
        </w:rPr>
        <w:t xml:space="preserve">: </w:t>
      </w:r>
      <w:r w:rsidR="00502DE3" w:rsidRPr="7F94D3D8">
        <w:rPr>
          <w:rFonts w:ascii="Arial Narrow" w:hAnsi="Arial Narrow"/>
        </w:rPr>
        <w:t xml:space="preserve">determining the strategic direction of the Bank, formulating policies and monitoring their faithful execution, ensuring that the Bank has competent management, and overseeing the conduct of FHLBank Boston’s affairs and management’s implementation of the policies and strategic plans adopted by the Board. The Board’s oversight includes </w:t>
      </w:r>
      <w:r w:rsidRPr="7F94D3D8">
        <w:rPr>
          <w:rFonts w:ascii="Arial Narrow" w:hAnsi="Arial Narrow"/>
        </w:rPr>
        <w:t xml:space="preserve">a broad range of subjects, such as the </w:t>
      </w:r>
      <w:r w:rsidR="00502DE3" w:rsidRPr="7F94D3D8">
        <w:rPr>
          <w:rFonts w:ascii="Arial Narrow" w:hAnsi="Arial Narrow"/>
        </w:rPr>
        <w:t>Bank’s</w:t>
      </w:r>
      <w:r w:rsidRPr="7F94D3D8">
        <w:rPr>
          <w:rFonts w:ascii="Arial Narrow" w:hAnsi="Arial Narrow"/>
        </w:rPr>
        <w:t xml:space="preserve"> strategic business plan and operating budget, capital plan, financial and risk management policies, affordable housing programs, compensation philosophies, </w:t>
      </w:r>
      <w:r w:rsidR="003B6877" w:rsidRPr="7F94D3D8">
        <w:rPr>
          <w:rFonts w:ascii="Arial Narrow" w:hAnsi="Arial Narrow"/>
        </w:rPr>
        <w:t>diversity</w:t>
      </w:r>
      <w:r w:rsidR="004C3CA3">
        <w:rPr>
          <w:rFonts w:ascii="Arial Narrow" w:hAnsi="Arial Narrow"/>
        </w:rPr>
        <w:t>, equity and</w:t>
      </w:r>
      <w:r w:rsidR="003B6877" w:rsidRPr="7F94D3D8">
        <w:rPr>
          <w:rFonts w:ascii="Arial Narrow" w:hAnsi="Arial Narrow"/>
        </w:rPr>
        <w:t xml:space="preserve"> inclusion program, </w:t>
      </w:r>
      <w:r w:rsidRPr="7F94D3D8">
        <w:rPr>
          <w:rFonts w:ascii="Arial Narrow" w:hAnsi="Arial Narrow"/>
        </w:rPr>
        <w:t xml:space="preserve">and other matters. </w:t>
      </w:r>
    </w:p>
    <w:p w14:paraId="18D244E1" w14:textId="55A92761" w:rsidR="00A26EEC" w:rsidRDefault="00A26EEC" w:rsidP="00502DE3">
      <w:pPr>
        <w:rPr>
          <w:rFonts w:ascii="Arial Narrow" w:hAnsi="Arial Narrow"/>
        </w:rPr>
      </w:pPr>
    </w:p>
    <w:p w14:paraId="7EDEEB63" w14:textId="38602A8E" w:rsidR="00327AB5" w:rsidRDefault="00327AB5" w:rsidP="00C85816">
      <w:pPr>
        <w:rPr>
          <w:rFonts w:ascii="Arial Narrow" w:hAnsi="Arial Narrow"/>
        </w:rPr>
      </w:pPr>
      <w:r>
        <w:rPr>
          <w:rFonts w:ascii="Arial Narrow" w:hAnsi="Arial Narrow"/>
        </w:rPr>
        <w:t xml:space="preserve">The Board maintains six standing committees to support its oversight function: Audit, Risk, Finance, </w:t>
      </w:r>
      <w:r w:rsidR="003E5CBE">
        <w:rPr>
          <w:rFonts w:ascii="Arial Narrow" w:hAnsi="Arial Narrow"/>
        </w:rPr>
        <w:br/>
      </w:r>
      <w:r>
        <w:rPr>
          <w:rFonts w:ascii="Arial Narrow" w:hAnsi="Arial Narrow"/>
        </w:rPr>
        <w:t>HR &amp; Compensation, Housing &amp; Community Development, and Governance</w:t>
      </w:r>
      <w:r w:rsidR="00947F4F">
        <w:rPr>
          <w:rFonts w:ascii="Arial Narrow" w:hAnsi="Arial Narrow"/>
        </w:rPr>
        <w:t>/Government Relations</w:t>
      </w:r>
      <w:r>
        <w:rPr>
          <w:rFonts w:ascii="Arial Narrow" w:hAnsi="Arial Narrow"/>
        </w:rPr>
        <w:t xml:space="preserve">.  </w:t>
      </w:r>
    </w:p>
    <w:p w14:paraId="195A3CE3" w14:textId="77777777" w:rsidR="00327AB5" w:rsidRDefault="00327AB5" w:rsidP="00C85816">
      <w:pPr>
        <w:rPr>
          <w:rFonts w:ascii="Arial Narrow" w:hAnsi="Arial Narrow"/>
        </w:rPr>
      </w:pPr>
    </w:p>
    <w:p w14:paraId="02C38A5D" w14:textId="2FE01BD4" w:rsidR="00C85816" w:rsidRDefault="00C85816" w:rsidP="00C56F19">
      <w:pPr>
        <w:pStyle w:val="Heading2"/>
      </w:pPr>
      <w:r w:rsidRPr="00C85816">
        <w:t>Duties and Responsibilities</w:t>
      </w:r>
      <w:r>
        <w:t xml:space="preserve">: </w:t>
      </w:r>
    </w:p>
    <w:p w14:paraId="175D99A7" w14:textId="2CF74BAC" w:rsidR="00C85816" w:rsidRDefault="00C85816" w:rsidP="00C85816">
      <w:pPr>
        <w:rPr>
          <w:rFonts w:ascii="Arial Narrow" w:hAnsi="Arial Narrow"/>
        </w:rPr>
      </w:pPr>
    </w:p>
    <w:p w14:paraId="586ACA7A" w14:textId="77777777" w:rsidR="00502DE3" w:rsidRDefault="00502DE3" w:rsidP="00502DE3">
      <w:pPr>
        <w:autoSpaceDE w:val="0"/>
        <w:autoSpaceDN w:val="0"/>
        <w:adjustRightInd w:val="0"/>
        <w:ind w:left="360" w:right="-234" w:hanging="360"/>
        <w:rPr>
          <w:rFonts w:ascii="Arial Narrow" w:hAnsi="Arial Narrow"/>
        </w:rPr>
      </w:pPr>
      <w:r>
        <w:rPr>
          <w:rFonts w:ascii="Arial Narrow" w:hAnsi="Arial Narrow"/>
        </w:rPr>
        <w:t>Each member of the Board of Directors is expected to:</w:t>
      </w:r>
    </w:p>
    <w:p w14:paraId="758E26DE" w14:textId="7C7E7C24" w:rsidR="00502DE3" w:rsidRPr="002B66CE" w:rsidRDefault="00164C0F" w:rsidP="002B66CE">
      <w:pPr>
        <w:pStyle w:val="ListParagraph"/>
        <w:numPr>
          <w:ilvl w:val="0"/>
          <w:numId w:val="9"/>
        </w:numPr>
        <w:autoSpaceDE w:val="0"/>
        <w:autoSpaceDN w:val="0"/>
        <w:adjustRightInd w:val="0"/>
        <w:spacing w:before="240" w:after="120"/>
        <w:ind w:left="360" w:right="-230"/>
        <w:rPr>
          <w:rFonts w:ascii="Arial Narrow" w:hAnsi="Arial Narrow"/>
        </w:rPr>
      </w:pPr>
      <w:r w:rsidRPr="002B66CE">
        <w:rPr>
          <w:rFonts w:ascii="Arial Narrow" w:hAnsi="Arial Narrow"/>
        </w:rPr>
        <w:t>C</w:t>
      </w:r>
      <w:r w:rsidR="00502DE3" w:rsidRPr="002B66CE">
        <w:rPr>
          <w:rFonts w:ascii="Arial Narrow" w:hAnsi="Arial Narrow"/>
        </w:rPr>
        <w:t>arry out his or her duties as director in good faith, in a manner such director believes to be in the best interests of the Bank, and with such care, including reasonable inquiry, as is required under Massachusetts Law (the body of law that FHLBank</w:t>
      </w:r>
      <w:r w:rsidR="004C3CA3" w:rsidRPr="002B66CE">
        <w:rPr>
          <w:rFonts w:ascii="Arial Narrow" w:hAnsi="Arial Narrow"/>
        </w:rPr>
        <w:t xml:space="preserve"> Boston’s</w:t>
      </w:r>
      <w:r w:rsidR="00502DE3" w:rsidRPr="002B66CE">
        <w:rPr>
          <w:rFonts w:ascii="Arial Narrow" w:hAnsi="Arial Narrow"/>
        </w:rPr>
        <w:t xml:space="preserve"> board of directors has chosen to follow for its corporate governance and indemnification practices and procedures</w:t>
      </w:r>
      <w:proofErr w:type="gramStart"/>
      <w:r w:rsidR="00502DE3" w:rsidRPr="002B66CE">
        <w:rPr>
          <w:rFonts w:ascii="Arial Narrow" w:hAnsi="Arial Narrow"/>
        </w:rPr>
        <w:t>);</w:t>
      </w:r>
      <w:proofErr w:type="gramEnd"/>
    </w:p>
    <w:p w14:paraId="6DB6154B" w14:textId="1C28499C" w:rsidR="00502DE3" w:rsidRPr="002B66CE" w:rsidRDefault="00164C0F" w:rsidP="002B66CE">
      <w:pPr>
        <w:pStyle w:val="ListParagraph"/>
        <w:numPr>
          <w:ilvl w:val="0"/>
          <w:numId w:val="9"/>
        </w:numPr>
        <w:autoSpaceDE w:val="0"/>
        <w:autoSpaceDN w:val="0"/>
        <w:adjustRightInd w:val="0"/>
        <w:spacing w:after="120"/>
        <w:ind w:left="360" w:right="-230"/>
        <w:rPr>
          <w:rFonts w:ascii="Arial Narrow" w:hAnsi="Arial Narrow"/>
        </w:rPr>
      </w:pPr>
      <w:r w:rsidRPr="002B66CE">
        <w:rPr>
          <w:rFonts w:ascii="Arial Narrow" w:hAnsi="Arial Narrow"/>
        </w:rPr>
        <w:t>A</w:t>
      </w:r>
      <w:r w:rsidR="00502DE3" w:rsidRPr="002B66CE">
        <w:rPr>
          <w:rFonts w:ascii="Arial Narrow" w:hAnsi="Arial Narrow"/>
        </w:rPr>
        <w:t xml:space="preserve">dminister the affairs of the Bank fairly and impartially and without discrimination in favor of or against any </w:t>
      </w:r>
      <w:proofErr w:type="gramStart"/>
      <w:r w:rsidR="00502DE3" w:rsidRPr="002B66CE">
        <w:rPr>
          <w:rFonts w:ascii="Arial Narrow" w:hAnsi="Arial Narrow"/>
        </w:rPr>
        <w:t>member;</w:t>
      </w:r>
      <w:proofErr w:type="gramEnd"/>
    </w:p>
    <w:p w14:paraId="45DF7137" w14:textId="4305D3C3" w:rsidR="00502DE3" w:rsidRPr="002B66CE" w:rsidRDefault="00164C0F" w:rsidP="002B66CE">
      <w:pPr>
        <w:pStyle w:val="ListParagraph"/>
        <w:numPr>
          <w:ilvl w:val="0"/>
          <w:numId w:val="9"/>
        </w:numPr>
        <w:autoSpaceDE w:val="0"/>
        <w:autoSpaceDN w:val="0"/>
        <w:adjustRightInd w:val="0"/>
        <w:spacing w:after="120"/>
        <w:ind w:left="360" w:right="-230"/>
        <w:rPr>
          <w:rFonts w:ascii="Arial Narrow" w:hAnsi="Arial Narrow"/>
        </w:rPr>
      </w:pPr>
      <w:r w:rsidRPr="002B66CE">
        <w:rPr>
          <w:rFonts w:ascii="Arial Narrow" w:hAnsi="Arial Narrow"/>
        </w:rPr>
        <w:t>A</w:t>
      </w:r>
      <w:r w:rsidR="00502DE3" w:rsidRPr="002B66CE">
        <w:rPr>
          <w:rFonts w:ascii="Arial Narrow" w:hAnsi="Arial Narrow"/>
        </w:rPr>
        <w:t xml:space="preserve">t the time of election, or within a reasonable </w:t>
      </w:r>
      <w:proofErr w:type="gramStart"/>
      <w:r w:rsidR="00502DE3" w:rsidRPr="002B66CE">
        <w:rPr>
          <w:rFonts w:ascii="Arial Narrow" w:hAnsi="Arial Narrow"/>
        </w:rPr>
        <w:t>time</w:t>
      </w:r>
      <w:proofErr w:type="gramEnd"/>
      <w:r w:rsidR="00502DE3" w:rsidRPr="002B66CE">
        <w:rPr>
          <w:rFonts w:ascii="Arial Narrow" w:hAnsi="Arial Narrow"/>
        </w:rPr>
        <w:t xml:space="preserve"> thereafter, have a working familiarity with basic finance and accounting practices, including the ability to read and understand the Bank’s balance sheet and income statement and to ask substantive questions of management and the institution’s internal and external auditors; </w:t>
      </w:r>
    </w:p>
    <w:p w14:paraId="34D76111" w14:textId="65423D12" w:rsidR="00502DE3" w:rsidRPr="002B66CE" w:rsidRDefault="00164C0F" w:rsidP="002B66CE">
      <w:pPr>
        <w:pStyle w:val="ListParagraph"/>
        <w:numPr>
          <w:ilvl w:val="0"/>
          <w:numId w:val="9"/>
        </w:numPr>
        <w:autoSpaceDE w:val="0"/>
        <w:autoSpaceDN w:val="0"/>
        <w:adjustRightInd w:val="0"/>
        <w:spacing w:after="120"/>
        <w:ind w:left="360" w:right="-230"/>
        <w:rPr>
          <w:rFonts w:ascii="Arial Narrow" w:hAnsi="Arial Narrow"/>
        </w:rPr>
      </w:pPr>
      <w:r w:rsidRPr="002B66CE">
        <w:rPr>
          <w:rFonts w:ascii="Arial Narrow" w:hAnsi="Arial Narrow"/>
        </w:rPr>
        <w:t>D</w:t>
      </w:r>
      <w:r w:rsidR="0020107C" w:rsidRPr="002B66CE">
        <w:rPr>
          <w:rFonts w:ascii="Arial Narrow" w:hAnsi="Arial Narrow"/>
        </w:rPr>
        <w:t>i</w:t>
      </w:r>
      <w:r w:rsidR="00502DE3" w:rsidRPr="002B66CE">
        <w:rPr>
          <w:rFonts w:ascii="Arial Narrow" w:hAnsi="Arial Narrow"/>
        </w:rPr>
        <w:t>rect the operations of the Bank in conformity with the requirements of the FHLBank Act, the Safety and Soundness Act, and the regulations of the Federal Housing Finance Agency (FHFA); and</w:t>
      </w:r>
    </w:p>
    <w:p w14:paraId="15037ED7" w14:textId="3BC5464B" w:rsidR="00502DE3" w:rsidRPr="002B66CE" w:rsidRDefault="00502DE3" w:rsidP="002B66CE">
      <w:pPr>
        <w:pStyle w:val="ListParagraph"/>
        <w:numPr>
          <w:ilvl w:val="0"/>
          <w:numId w:val="9"/>
        </w:numPr>
        <w:autoSpaceDE w:val="0"/>
        <w:autoSpaceDN w:val="0"/>
        <w:adjustRightInd w:val="0"/>
        <w:ind w:left="360" w:right="-234"/>
        <w:rPr>
          <w:rFonts w:ascii="Arial Narrow" w:hAnsi="Arial Narrow"/>
        </w:rPr>
      </w:pPr>
      <w:proofErr w:type="gramStart"/>
      <w:r w:rsidRPr="002B66CE">
        <w:rPr>
          <w:rFonts w:ascii="Arial Narrow" w:hAnsi="Arial Narrow"/>
        </w:rPr>
        <w:t>Adopt and maintain in effect at all times</w:t>
      </w:r>
      <w:proofErr w:type="gramEnd"/>
      <w:r w:rsidRPr="002B66CE">
        <w:rPr>
          <w:rFonts w:ascii="Arial Narrow" w:hAnsi="Arial Narrow"/>
        </w:rPr>
        <w:t xml:space="preserve"> bylaws governing the manner in which the Bank administers its affairs (consistent with applicable laws, regulations and the Massachusetts Business Corporation Act).</w:t>
      </w:r>
    </w:p>
    <w:p w14:paraId="261ED4B9" w14:textId="0B0BE676" w:rsidR="00502DE3" w:rsidRDefault="00502DE3" w:rsidP="00C85816">
      <w:pPr>
        <w:rPr>
          <w:rFonts w:ascii="Arial Narrow" w:hAnsi="Arial Narrow"/>
        </w:rPr>
      </w:pPr>
    </w:p>
    <w:p w14:paraId="417932CA" w14:textId="5465D138" w:rsidR="00C85816" w:rsidRDefault="00C945B0" w:rsidP="00C56F19">
      <w:pPr>
        <w:pStyle w:val="Heading2"/>
      </w:pPr>
      <w:r>
        <w:t xml:space="preserve">Board </w:t>
      </w:r>
      <w:r w:rsidR="00C85816" w:rsidRPr="00C85816">
        <w:t>Knowledge/Skills</w:t>
      </w:r>
      <w:r w:rsidR="00C85816">
        <w:t>:</w:t>
      </w:r>
    </w:p>
    <w:p w14:paraId="1E2102B3" w14:textId="73714333" w:rsidR="00C85816" w:rsidRDefault="00C85816" w:rsidP="00C85816">
      <w:pPr>
        <w:rPr>
          <w:rFonts w:ascii="Arial Narrow" w:hAnsi="Arial Narrow"/>
        </w:rPr>
      </w:pPr>
    </w:p>
    <w:p w14:paraId="5B2BE1E1" w14:textId="3EBFCDB7" w:rsidR="00C85816" w:rsidRDefault="00502DE3" w:rsidP="00C85816">
      <w:pPr>
        <w:rPr>
          <w:rFonts w:ascii="Arial Narrow" w:hAnsi="Arial Narrow"/>
        </w:rPr>
      </w:pPr>
      <w:r>
        <w:rPr>
          <w:rFonts w:ascii="Arial Narrow" w:hAnsi="Arial Narrow"/>
        </w:rPr>
        <w:t xml:space="preserve">The Board as a whole is expected to have </w:t>
      </w:r>
      <w:r w:rsidR="00035463">
        <w:rPr>
          <w:rFonts w:ascii="Arial Narrow" w:hAnsi="Arial Narrow"/>
        </w:rPr>
        <w:t>experience in, or understanding of, the following areas of knowledge rep</w:t>
      </w:r>
      <w:r>
        <w:rPr>
          <w:rFonts w:ascii="Arial Narrow" w:hAnsi="Arial Narrow"/>
        </w:rPr>
        <w:t xml:space="preserve">resented among its members, at </w:t>
      </w:r>
      <w:r w:rsidR="00035463">
        <w:rPr>
          <w:rFonts w:ascii="Arial Narrow" w:hAnsi="Arial Narrow"/>
        </w:rPr>
        <w:t xml:space="preserve">a level at least sufficient to enable one or more directors to be able to participate </w:t>
      </w:r>
      <w:r w:rsidR="00035463" w:rsidRPr="00035463">
        <w:rPr>
          <w:rFonts w:ascii="Arial Narrow" w:hAnsi="Arial Narrow"/>
        </w:rPr>
        <w:t>meaningfully in a discussion and/or to ask relevant questions regarding such matters</w:t>
      </w:r>
      <w:r w:rsidR="00035463">
        <w:rPr>
          <w:rFonts w:ascii="Arial Narrow" w:hAnsi="Arial Narrow"/>
        </w:rPr>
        <w:t>.</w:t>
      </w:r>
      <w:r w:rsidR="00C945B0">
        <w:rPr>
          <w:rFonts w:ascii="Arial Narrow" w:hAnsi="Arial Narrow"/>
        </w:rPr>
        <w:t xml:space="preserve"> E</w:t>
      </w:r>
      <w:r w:rsidR="00035463">
        <w:rPr>
          <w:rFonts w:ascii="Arial Narrow" w:hAnsi="Arial Narrow"/>
        </w:rPr>
        <w:t xml:space="preserve">ach director is not expected to have knowledge/skills in each of these areas: </w:t>
      </w:r>
    </w:p>
    <w:p w14:paraId="5AE88B4F" w14:textId="26354E7C" w:rsidR="00035463" w:rsidRDefault="00035463" w:rsidP="00C85816">
      <w:pPr>
        <w:rPr>
          <w:rFonts w:ascii="Arial Narrow" w:hAnsi="Arial Narrow"/>
        </w:rPr>
      </w:pPr>
    </w:p>
    <w:p w14:paraId="1FD449A9" w14:textId="2F5360A8"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 xml:space="preserve">Capital markets transactions, including debt instruments, mortgage-backed securities, other types of investments, and/or derivatives transactions.  </w:t>
      </w:r>
    </w:p>
    <w:p w14:paraId="2E1AAB57" w14:textId="0A1C214E"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lastRenderedPageBreak/>
        <w:t xml:space="preserve">Financial institution asset/liability management, including methods of managing income sensitivity to interest rates. </w:t>
      </w:r>
    </w:p>
    <w:p w14:paraId="502C055E" w14:textId="41EEBB9D"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Corporate information technology (IT), information security (IS), and/or business continuity systems, policies, or project management.</w:t>
      </w:r>
    </w:p>
    <w:p w14:paraId="43D6BC0B" w14:textId="01D573DC"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Financial institution (in particular Federal Home Loan Bank) products and pricing strategies.</w:t>
      </w:r>
    </w:p>
    <w:p w14:paraId="1FF8C41F" w14:textId="2E5E89E0"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Credit risk management principles and practices with respect to complex financial institutions, and the ability to assess the general application of such principles and practices.</w:t>
      </w:r>
    </w:p>
    <w:p w14:paraId="25888FBD" w14:textId="523CD2C6"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Market risk management principles and practices with respect to complex financial institutions, and the ability to assess the general application of such principles and practices.</w:t>
      </w:r>
    </w:p>
    <w:p w14:paraId="02FEFB2A" w14:textId="5223AF3E"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Operations risk management principles and practices with respect to complex financial institutions, and the ability to assess the general application of such principles and practices.</w:t>
      </w:r>
    </w:p>
    <w:p w14:paraId="0AF621E6" w14:textId="21012C99"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Affordable housing and/or community/economic development.</w:t>
      </w:r>
    </w:p>
    <w:p w14:paraId="1F7F2B68" w14:textId="1C6353CD"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 xml:space="preserve">Operating in a heavily regulated industry, and/or experience supervising or maintaining a regulatory compliance program.  </w:t>
      </w:r>
    </w:p>
    <w:p w14:paraId="6CB0FDC0" w14:textId="583F45CB"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Human resources management, including compensation, benefit administration, hiring and retention, and succession planning.</w:t>
      </w:r>
    </w:p>
    <w:p w14:paraId="5D039C8E" w14:textId="6CC25D5B"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Internal audit and/or external audit management.</w:t>
      </w:r>
    </w:p>
    <w:p w14:paraId="6E99E819" w14:textId="411FD739"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 xml:space="preserve">Corporate governance activities, including fiduciary duties of corporate directors, implementation of codes of ethics and/or conflict of interest policies, and/or corporate secretary responsibilities.   </w:t>
      </w:r>
    </w:p>
    <w:p w14:paraId="2169F23B" w14:textId="5E4C6033"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Corporate strategic planning activities</w:t>
      </w:r>
    </w:p>
    <w:p w14:paraId="787E91AE" w14:textId="3E85ED9E"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 xml:space="preserve">Insurance company business strategies, risks, and liquidity management;  </w:t>
      </w:r>
    </w:p>
    <w:p w14:paraId="2AA7AEA8" w14:textId="51C688D2" w:rsidR="00035463" w:rsidRPr="00035463" w:rsidRDefault="00035463" w:rsidP="00035463">
      <w:pPr>
        <w:pStyle w:val="ListParagraph"/>
        <w:numPr>
          <w:ilvl w:val="0"/>
          <w:numId w:val="5"/>
        </w:numPr>
        <w:spacing w:after="60"/>
        <w:contextualSpacing w:val="0"/>
        <w:rPr>
          <w:rFonts w:ascii="Arial Narrow" w:hAnsi="Arial Narrow"/>
        </w:rPr>
      </w:pPr>
      <w:r w:rsidRPr="00035463">
        <w:rPr>
          <w:rFonts w:ascii="Arial Narrow" w:hAnsi="Arial Narrow"/>
        </w:rPr>
        <w:t>Diversity</w:t>
      </w:r>
      <w:r w:rsidR="00164C0F">
        <w:rPr>
          <w:rFonts w:ascii="Arial Narrow" w:hAnsi="Arial Narrow"/>
        </w:rPr>
        <w:t>,</w:t>
      </w:r>
      <w:r w:rsidR="00EE70C5">
        <w:rPr>
          <w:rFonts w:ascii="Arial Narrow" w:hAnsi="Arial Narrow"/>
        </w:rPr>
        <w:t xml:space="preserve"> </w:t>
      </w:r>
      <w:r w:rsidR="00164C0F">
        <w:rPr>
          <w:rFonts w:ascii="Arial Narrow" w:hAnsi="Arial Narrow"/>
        </w:rPr>
        <w:t>equity and</w:t>
      </w:r>
      <w:r w:rsidRPr="00035463">
        <w:rPr>
          <w:rFonts w:ascii="Arial Narrow" w:hAnsi="Arial Narrow"/>
        </w:rPr>
        <w:t xml:space="preserve"> inclusion</w:t>
      </w:r>
      <w:r w:rsidR="00A26EEC">
        <w:rPr>
          <w:rFonts w:ascii="Arial Narrow" w:hAnsi="Arial Narrow"/>
        </w:rPr>
        <w:t>, including</w:t>
      </w:r>
      <w:r w:rsidRPr="00035463">
        <w:rPr>
          <w:rFonts w:ascii="Arial Narrow" w:hAnsi="Arial Narrow"/>
        </w:rPr>
        <w:t>:</w:t>
      </w:r>
    </w:p>
    <w:p w14:paraId="7DE432FA" w14:textId="7CA8728C" w:rsidR="00035463" w:rsidRPr="00035463" w:rsidRDefault="00A26EEC" w:rsidP="00035463">
      <w:pPr>
        <w:pStyle w:val="ListParagraph"/>
        <w:numPr>
          <w:ilvl w:val="0"/>
          <w:numId w:val="6"/>
        </w:numPr>
        <w:ind w:left="1440"/>
        <w:rPr>
          <w:rFonts w:ascii="Arial Narrow" w:hAnsi="Arial Narrow"/>
        </w:rPr>
      </w:pPr>
      <w:r>
        <w:rPr>
          <w:rFonts w:ascii="Arial Narrow" w:hAnsi="Arial Narrow"/>
        </w:rPr>
        <w:t>Understanding of e</w:t>
      </w:r>
      <w:r w:rsidR="00035463" w:rsidRPr="00035463">
        <w:rPr>
          <w:rFonts w:ascii="Arial Narrow" w:hAnsi="Arial Narrow"/>
        </w:rPr>
        <w:t xml:space="preserve">qual </w:t>
      </w:r>
      <w:r>
        <w:rPr>
          <w:rFonts w:ascii="Arial Narrow" w:hAnsi="Arial Narrow"/>
        </w:rPr>
        <w:t>o</w:t>
      </w:r>
      <w:r w:rsidR="00035463" w:rsidRPr="00035463">
        <w:rPr>
          <w:rFonts w:ascii="Arial Narrow" w:hAnsi="Arial Narrow"/>
        </w:rPr>
        <w:t xml:space="preserve">pportunity </w:t>
      </w:r>
      <w:r>
        <w:rPr>
          <w:rFonts w:ascii="Arial Narrow" w:hAnsi="Arial Narrow"/>
        </w:rPr>
        <w:t>p</w:t>
      </w:r>
      <w:r w:rsidR="00035463" w:rsidRPr="00035463">
        <w:rPr>
          <w:rFonts w:ascii="Arial Narrow" w:hAnsi="Arial Narrow"/>
        </w:rPr>
        <w:t>rinciples</w:t>
      </w:r>
      <w:r w:rsidR="00035463">
        <w:rPr>
          <w:rFonts w:ascii="Arial Narrow" w:hAnsi="Arial Narrow"/>
        </w:rPr>
        <w:t>.</w:t>
      </w:r>
    </w:p>
    <w:p w14:paraId="07AA08F0" w14:textId="5FCF2800" w:rsidR="00035463" w:rsidRPr="00035463" w:rsidRDefault="00035463" w:rsidP="00035463">
      <w:pPr>
        <w:pStyle w:val="ListParagraph"/>
        <w:numPr>
          <w:ilvl w:val="0"/>
          <w:numId w:val="6"/>
        </w:numPr>
        <w:ind w:left="1440"/>
        <w:rPr>
          <w:rFonts w:ascii="Arial Narrow" w:hAnsi="Arial Narrow"/>
        </w:rPr>
      </w:pPr>
      <w:r>
        <w:rPr>
          <w:rFonts w:ascii="Arial Narrow" w:hAnsi="Arial Narrow"/>
        </w:rPr>
        <w:t>Ability to assess whether management (</w:t>
      </w:r>
      <w:proofErr w:type="spellStart"/>
      <w:r>
        <w:rPr>
          <w:rFonts w:ascii="Arial Narrow" w:hAnsi="Arial Narrow"/>
        </w:rPr>
        <w:t>i</w:t>
      </w:r>
      <w:proofErr w:type="spellEnd"/>
      <w:r>
        <w:rPr>
          <w:rFonts w:ascii="Arial Narrow" w:hAnsi="Arial Narrow"/>
        </w:rPr>
        <w:t>) seeks to promote D</w:t>
      </w:r>
      <w:r w:rsidR="00164C0F">
        <w:rPr>
          <w:rFonts w:ascii="Arial Narrow" w:hAnsi="Arial Narrow"/>
        </w:rPr>
        <w:t>E</w:t>
      </w:r>
      <w:r>
        <w:rPr>
          <w:rFonts w:ascii="Arial Narrow" w:hAnsi="Arial Narrow"/>
        </w:rPr>
        <w:t xml:space="preserve">&amp;I, (ii) is able to develop and manage diversity programs and initiatives, and (iii) is able to </w:t>
      </w:r>
      <w:r w:rsidRPr="00035463">
        <w:rPr>
          <w:rFonts w:ascii="Arial Narrow" w:hAnsi="Arial Narrow"/>
        </w:rPr>
        <w:t>lead organizational development and corporate communication and outreach</w:t>
      </w:r>
    </w:p>
    <w:p w14:paraId="6610BD64" w14:textId="293E6B6E" w:rsidR="00035463" w:rsidRPr="00035463" w:rsidRDefault="00035463" w:rsidP="00035463">
      <w:pPr>
        <w:pStyle w:val="ListParagraph"/>
        <w:numPr>
          <w:ilvl w:val="0"/>
          <w:numId w:val="6"/>
        </w:numPr>
        <w:ind w:left="1440"/>
        <w:rPr>
          <w:rFonts w:ascii="Arial Narrow" w:hAnsi="Arial Narrow"/>
        </w:rPr>
      </w:pPr>
      <w:r w:rsidRPr="00035463">
        <w:rPr>
          <w:rFonts w:ascii="Arial Narrow" w:hAnsi="Arial Narrow"/>
        </w:rPr>
        <w:t>Strategic Leadership</w:t>
      </w:r>
      <w:r>
        <w:rPr>
          <w:rFonts w:ascii="Arial Narrow" w:hAnsi="Arial Narrow"/>
        </w:rPr>
        <w:t xml:space="preserve"> in </w:t>
      </w:r>
      <w:r w:rsidRPr="00035463">
        <w:rPr>
          <w:rFonts w:ascii="Arial Narrow" w:hAnsi="Arial Narrow"/>
        </w:rPr>
        <w:t>adopting and communicating D</w:t>
      </w:r>
      <w:r w:rsidR="00164C0F">
        <w:rPr>
          <w:rFonts w:ascii="Arial Narrow" w:hAnsi="Arial Narrow"/>
        </w:rPr>
        <w:t>E</w:t>
      </w:r>
      <w:r w:rsidRPr="00035463">
        <w:rPr>
          <w:rFonts w:ascii="Arial Narrow" w:hAnsi="Arial Narrow"/>
        </w:rPr>
        <w:t>&amp;I objectives</w:t>
      </w:r>
    </w:p>
    <w:p w14:paraId="3EDC4D29" w14:textId="2488FC15" w:rsidR="00C85816" w:rsidRDefault="00C85816" w:rsidP="00C85816">
      <w:pPr>
        <w:rPr>
          <w:rFonts w:ascii="Arial Narrow" w:hAnsi="Arial Narrow"/>
        </w:rPr>
      </w:pPr>
    </w:p>
    <w:p w14:paraId="10C45260" w14:textId="3208154D" w:rsidR="7F94D3D8" w:rsidRDefault="7F94D3D8" w:rsidP="00C56F19">
      <w:pPr>
        <w:pStyle w:val="Heading2"/>
      </w:pPr>
      <w:r w:rsidRPr="00BC7DB0">
        <w:t>2022 Priorities</w:t>
      </w:r>
    </w:p>
    <w:p w14:paraId="506D6ED3" w14:textId="44B132AF" w:rsidR="7F94D3D8" w:rsidRDefault="7F94D3D8" w:rsidP="7F94D3D8">
      <w:pPr>
        <w:rPr>
          <w:b/>
          <w:bCs/>
          <w:szCs w:val="24"/>
        </w:rPr>
      </w:pPr>
    </w:p>
    <w:p w14:paraId="5DFC2DFD" w14:textId="5F156742" w:rsidR="005D5C59" w:rsidRDefault="7F94D3D8" w:rsidP="00C85816">
      <w:pPr>
        <w:rPr>
          <w:rFonts w:ascii="Arial Narrow" w:hAnsi="Arial Narrow"/>
          <w:szCs w:val="24"/>
        </w:rPr>
      </w:pPr>
      <w:r w:rsidRPr="7F94D3D8">
        <w:rPr>
          <w:rFonts w:ascii="Arial Narrow" w:hAnsi="Arial Narrow"/>
          <w:szCs w:val="24"/>
        </w:rPr>
        <w:t xml:space="preserve">The Committee has prioritized the following skills/competencies for the non-public interest director position: cybersecurity/ information technology; auditing (internal and external) and accounting; and insurance company business/finance. For the public interest director position, the Committee is seeking affordable housing expertise. </w:t>
      </w:r>
    </w:p>
    <w:p w14:paraId="2545DA6C" w14:textId="77777777" w:rsidR="00623023" w:rsidRDefault="00623023" w:rsidP="00C85816">
      <w:pPr>
        <w:rPr>
          <w:rFonts w:ascii="Arial Narrow" w:hAnsi="Arial Narrow"/>
          <w:b/>
          <w:bCs/>
        </w:rPr>
      </w:pPr>
    </w:p>
    <w:p w14:paraId="363B7178" w14:textId="763EB03E" w:rsidR="00C85816" w:rsidRDefault="00C85816" w:rsidP="00C56F19">
      <w:pPr>
        <w:pStyle w:val="Heading2"/>
      </w:pPr>
      <w:r w:rsidRPr="00C85816">
        <w:t>Experience</w:t>
      </w:r>
      <w:r>
        <w:t xml:space="preserve">: </w:t>
      </w:r>
    </w:p>
    <w:p w14:paraId="467F617A" w14:textId="1FCB5C50" w:rsidR="00A26EEC" w:rsidRDefault="00A26EEC" w:rsidP="00C85816">
      <w:pPr>
        <w:rPr>
          <w:rFonts w:ascii="Arial Narrow" w:hAnsi="Arial Narrow"/>
        </w:rPr>
      </w:pPr>
    </w:p>
    <w:p w14:paraId="57A13E7B" w14:textId="5083146C" w:rsidR="00A26EEC" w:rsidRDefault="00A26EEC" w:rsidP="00A26EEC">
      <w:pPr>
        <w:rPr>
          <w:rFonts w:ascii="Arial Narrow" w:hAnsi="Arial Narrow"/>
        </w:rPr>
      </w:pPr>
      <w:r w:rsidRPr="7F94D3D8">
        <w:rPr>
          <w:rFonts w:ascii="Arial Narrow" w:hAnsi="Arial Narrow"/>
        </w:rPr>
        <w:t xml:space="preserve">The Board values prior executive leadership experience as well as prior board service for a public company or cooperative. Similarly, the Board values experience and expertise in the following areas: fintech, mortgage finance, secondary market, private mortgage insurance, capital markets, treasury functions, </w:t>
      </w:r>
      <w:r w:rsidRPr="7F94D3D8">
        <w:rPr>
          <w:rFonts w:ascii="Arial Narrow" w:hAnsi="Arial Narrow"/>
        </w:rPr>
        <w:lastRenderedPageBreak/>
        <w:t>housing development, cybersecurity, strategic</w:t>
      </w:r>
      <w:r w:rsidR="00F54039" w:rsidRPr="7F94D3D8">
        <w:rPr>
          <w:rFonts w:ascii="Arial Narrow" w:hAnsi="Arial Narrow"/>
        </w:rPr>
        <w:t xml:space="preserve"> </w:t>
      </w:r>
      <w:r w:rsidR="00715728" w:rsidRPr="7F94D3D8">
        <w:rPr>
          <w:rFonts w:ascii="Arial Narrow" w:hAnsi="Arial Narrow"/>
        </w:rPr>
        <w:t xml:space="preserve">planning, </w:t>
      </w:r>
      <w:r w:rsidRPr="7F94D3D8">
        <w:rPr>
          <w:rFonts w:ascii="Arial Narrow" w:hAnsi="Arial Narrow"/>
        </w:rPr>
        <w:t>human resources, legal, regulatory and government relations. The Board believes individuals who have experience in a highly regulated business that has evolved can add value in the boardroom on an array of decisions affecting the Bank’s future strategy.</w:t>
      </w:r>
    </w:p>
    <w:p w14:paraId="7AE96EEF" w14:textId="6851BAA9" w:rsidR="00A26EEC" w:rsidRDefault="00A26EEC" w:rsidP="00A26EEC">
      <w:pPr>
        <w:rPr>
          <w:rFonts w:ascii="Arial Narrow" w:hAnsi="Arial Narrow"/>
        </w:rPr>
      </w:pPr>
    </w:p>
    <w:p w14:paraId="2272DEB5" w14:textId="6FD07681" w:rsidR="00A26EEC" w:rsidRDefault="00A26EEC" w:rsidP="00C56F19">
      <w:pPr>
        <w:pStyle w:val="Heading2"/>
      </w:pPr>
      <w:r>
        <w:t xml:space="preserve">Eligibility Requirements: </w:t>
      </w:r>
    </w:p>
    <w:p w14:paraId="2B5F1C37" w14:textId="77777777" w:rsidR="00A26EEC" w:rsidRDefault="00A26EEC" w:rsidP="00A26EEC">
      <w:pPr>
        <w:keepNext/>
        <w:rPr>
          <w:rFonts w:ascii="Arial Narrow" w:hAnsi="Arial Narrow"/>
          <w:b/>
          <w:bCs/>
        </w:rPr>
      </w:pPr>
    </w:p>
    <w:p w14:paraId="16093742" w14:textId="2952C079" w:rsidR="00C945B0" w:rsidRPr="008A649E" w:rsidRDefault="00A26EEC" w:rsidP="00C945B0">
      <w:pPr>
        <w:pStyle w:val="Default"/>
      </w:pPr>
      <w:r w:rsidRPr="7F94D3D8">
        <w:rPr>
          <w:i/>
          <w:iCs/>
        </w:rPr>
        <w:t xml:space="preserve">Independent Directors. </w:t>
      </w:r>
      <w:r>
        <w:t>The Board has independent directors</w:t>
      </w:r>
      <w:r w:rsidR="00C945B0">
        <w:t xml:space="preserve"> who are nominated by the Board after consultation with the Bank’s Affordable Housing Advisory Council</w:t>
      </w:r>
      <w:r>
        <w:t xml:space="preserve">. </w:t>
      </w:r>
      <w:r w:rsidR="00C945B0">
        <w:t xml:space="preserve">Each independent director must be a citizen of the United States, a “bona fide” resident of one of the six New England states, and have either (or both) of the following qualifications: </w:t>
      </w:r>
    </w:p>
    <w:p w14:paraId="02C69A0C" w14:textId="77777777" w:rsidR="00C945B0" w:rsidRPr="008A649E" w:rsidRDefault="00C945B0" w:rsidP="00C945B0">
      <w:pPr>
        <w:pStyle w:val="Default"/>
      </w:pPr>
    </w:p>
    <w:p w14:paraId="7A99A003" w14:textId="59BDD1AD" w:rsidR="00C945B0" w:rsidRPr="008A649E" w:rsidRDefault="00C945B0" w:rsidP="00C945B0">
      <w:pPr>
        <w:pStyle w:val="Default"/>
        <w:numPr>
          <w:ilvl w:val="0"/>
          <w:numId w:val="8"/>
        </w:numPr>
        <w:spacing w:after="155"/>
      </w:pPr>
      <w:r w:rsidRPr="008A649E">
        <w:t xml:space="preserve">Experience in, or knowledge of, one or more of the following areas: auditing and accounting, derivatives, financial management, organizational management, project development, risk management practices, and the law; or </w:t>
      </w:r>
    </w:p>
    <w:p w14:paraId="729C8667" w14:textId="6746501E" w:rsidR="00C945B0" w:rsidRPr="008A649E" w:rsidRDefault="00C945B0" w:rsidP="00C945B0">
      <w:pPr>
        <w:pStyle w:val="Default"/>
        <w:numPr>
          <w:ilvl w:val="0"/>
          <w:numId w:val="8"/>
        </w:numPr>
      </w:pPr>
      <w:r w:rsidRPr="008A649E">
        <w:t>More than four years of experience in representing consumer or community interests in banking services, credit needs, housing, or financial consumer protections (a “public interest director”).</w:t>
      </w:r>
    </w:p>
    <w:p w14:paraId="79DD0C3C" w14:textId="77777777" w:rsidR="00C945B0" w:rsidRPr="008A649E" w:rsidRDefault="00C945B0" w:rsidP="00C945B0">
      <w:pPr>
        <w:pStyle w:val="Default"/>
      </w:pPr>
    </w:p>
    <w:p w14:paraId="1651FC34" w14:textId="78570E77" w:rsidR="00A26EEC" w:rsidRPr="008A649E" w:rsidRDefault="00C945B0" w:rsidP="7F94D3D8">
      <w:pPr>
        <w:rPr>
          <w:rFonts w:ascii="Arial Narrow" w:hAnsi="Arial Narrow"/>
        </w:rPr>
      </w:pPr>
      <w:r w:rsidRPr="7F94D3D8">
        <w:rPr>
          <w:rFonts w:ascii="Arial Narrow" w:hAnsi="Arial Narrow"/>
        </w:rPr>
        <w:t>An individual may not serve as an independent director if he or she (or his or her spouse) is an officer or employee of any Federal Home Loan Bank or a director, officer, or employee of any Bank member or recipient of Bank advances.</w:t>
      </w:r>
    </w:p>
    <w:p w14:paraId="42C551E3" w14:textId="5F27BB1C" w:rsidR="7F94D3D8" w:rsidRDefault="7F94D3D8" w:rsidP="7F94D3D8">
      <w:pPr>
        <w:rPr>
          <w:szCs w:val="24"/>
        </w:rPr>
      </w:pPr>
    </w:p>
    <w:p w14:paraId="10435301" w14:textId="561CED2A" w:rsidR="00A26EEC" w:rsidRDefault="00A26EEC" w:rsidP="7F94D3D8">
      <w:pPr>
        <w:rPr>
          <w:rFonts w:ascii="Arial Narrow" w:hAnsi="Arial Narrow"/>
        </w:rPr>
      </w:pPr>
      <w:r w:rsidRPr="7F94D3D8">
        <w:rPr>
          <w:rFonts w:ascii="Arial Narrow" w:hAnsi="Arial Narrow"/>
          <w:i/>
          <w:iCs/>
        </w:rPr>
        <w:t xml:space="preserve">Member Directors. </w:t>
      </w:r>
      <w:r w:rsidRPr="7F94D3D8">
        <w:rPr>
          <w:rFonts w:ascii="Arial Narrow" w:hAnsi="Arial Narrow"/>
        </w:rPr>
        <w:t xml:space="preserve">The Board has member directors who are nominated by the Bank’s members in each New England state. Each member director must be a director or officer of a member of the Bank that is in compliance with its regulatory capital requirements. Member directors must also be citizens of the United States. </w:t>
      </w:r>
    </w:p>
    <w:p w14:paraId="6F09C4E9" w14:textId="003898FE" w:rsidR="7F94D3D8" w:rsidRDefault="7F94D3D8" w:rsidP="7F94D3D8">
      <w:pPr>
        <w:rPr>
          <w:rFonts w:ascii="Arial Narrow" w:hAnsi="Arial Narrow"/>
        </w:rPr>
      </w:pPr>
    </w:p>
    <w:p w14:paraId="767FD095" w14:textId="240231BC" w:rsidR="7F94D3D8" w:rsidRDefault="7F94D3D8" w:rsidP="7F94D3D8">
      <w:pPr>
        <w:rPr>
          <w:szCs w:val="24"/>
        </w:rPr>
      </w:pPr>
    </w:p>
    <w:p w14:paraId="541D5FF0" w14:textId="536EC881" w:rsidR="00A26EEC" w:rsidRDefault="00A26EEC" w:rsidP="00A26EEC">
      <w:pPr>
        <w:rPr>
          <w:rFonts w:ascii="Arial Narrow" w:hAnsi="Arial Narrow"/>
          <w:b/>
          <w:bCs/>
        </w:rPr>
      </w:pPr>
    </w:p>
    <w:sectPr w:rsidR="00A26EEC" w:rsidSect="00067E8D">
      <w:footerReference w:type="even" r:id="rId12"/>
      <w:footerReference w:type="default" r:id="rId13"/>
      <w:headerReference w:type="first" r:id="rId14"/>
      <w:footerReference w:type="first" r:id="rId15"/>
      <w:pgSz w:w="12240" w:h="15840"/>
      <w:pgMar w:top="189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28ED" w14:textId="77777777" w:rsidR="00DA6427" w:rsidRDefault="00DA6427" w:rsidP="0026233C">
      <w:r>
        <w:separator/>
      </w:r>
    </w:p>
  </w:endnote>
  <w:endnote w:type="continuationSeparator" w:id="0">
    <w:p w14:paraId="047312B2" w14:textId="77777777" w:rsidR="00DA6427" w:rsidRDefault="00DA6427" w:rsidP="002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6A89" w14:textId="6BA63C3A" w:rsidR="00CC305D" w:rsidRDefault="00CC305D">
    <w:pPr>
      <w:pStyle w:val="Footer"/>
    </w:pPr>
    <w:r>
      <w:rPr>
        <w:noProof/>
      </w:rPr>
      <mc:AlternateContent>
        <mc:Choice Requires="wps">
          <w:drawing>
            <wp:inline distT="0" distB="0" distL="0" distR="0" wp14:anchorId="63616585" wp14:editId="16C2641B">
              <wp:extent cx="443865" cy="443865"/>
              <wp:effectExtent l="0" t="0" r="18415" b="16510"/>
              <wp:docPr id="4" name="Text Box 4" descr="Classification: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B373D" w14:textId="40B2E179" w:rsidR="00CC305D" w:rsidRPr="00CC305D" w:rsidRDefault="00CC305D">
                          <w:pPr>
                            <w:rPr>
                              <w:rFonts w:ascii="Calibri" w:eastAsia="Calibri" w:hAnsi="Calibri" w:cs="Calibri"/>
                              <w:color w:val="000000"/>
                              <w:sz w:val="20"/>
                            </w:rPr>
                          </w:pPr>
                          <w:r w:rsidRPr="00CC305D">
                            <w:rPr>
                              <w:rFonts w:ascii="Calibri" w:eastAsia="Calibri" w:hAnsi="Calibri" w:cs="Calibri"/>
                              <w:color w:val="000000"/>
                              <w:sz w:val="20"/>
                            </w:rPr>
                            <w:t>Classification: 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inline>
          </w:drawing>
        </mc:Choice>
        <mc:Fallback>
          <w:pict>
            <v:shapetype w14:anchorId="63616585" id="_x0000_t202" coordsize="21600,21600" o:spt="202" path="m,l,21600r21600,l21600,xe">
              <v:stroke joinstyle="miter"/>
              <v:path gradientshapeok="t" o:connecttype="rect"/>
            </v:shapetype>
            <v:shape id="Text Box 4" o:spid="_x0000_s1026" type="#_x0000_t202" alt="Classification: Public"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" filled="f" stroked="f">
              <v:textbox style="mso-fit-shape-to-text:t" inset="15pt,0,0,0">
                <w:txbxContent>
                  <w:p w14:paraId="1EEB373D" w14:textId="40B2E179" w:rsidR="00CC305D" w:rsidRPr="00CC305D" w:rsidRDefault="00CC305D">
                    <w:pPr>
                      <w:rPr>
                        <w:rFonts w:ascii="Calibri" w:eastAsia="Calibri" w:hAnsi="Calibri" w:cs="Calibri"/>
                        <w:color w:val="000000"/>
                        <w:sz w:val="20"/>
                      </w:rPr>
                    </w:pPr>
                    <w:r w:rsidRPr="00CC305D">
                      <w:rPr>
                        <w:rFonts w:ascii="Calibri" w:eastAsia="Calibri" w:hAnsi="Calibri" w:cs="Calibri"/>
                        <w:color w:val="000000"/>
                        <w:sz w:val="20"/>
                      </w:rPr>
                      <w:t>Classification: Public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C698" w14:textId="77777777" w:rsidR="001E2FEB" w:rsidRPr="00CC305D" w:rsidRDefault="001E2FEB" w:rsidP="001E2FEB">
    <w:pPr>
      <w:ind w:left="-1350"/>
      <w:rPr>
        <w:rFonts w:ascii="Calibri" w:eastAsia="Calibri" w:hAnsi="Calibri" w:cs="Calibri"/>
        <w:color w:val="000000"/>
        <w:sz w:val="20"/>
      </w:rPr>
    </w:pPr>
    <w:r w:rsidRPr="00CC305D">
      <w:rPr>
        <w:rFonts w:ascii="Calibri" w:eastAsia="Calibri" w:hAnsi="Calibri" w:cs="Calibri"/>
        <w:color w:val="000000"/>
        <w:sz w:val="20"/>
      </w:rPr>
      <w:t>Classification: Public</w:t>
    </w:r>
  </w:p>
  <w:p w14:paraId="3DFD3E1E" w14:textId="285C6A53" w:rsidR="00DB6D60" w:rsidRDefault="00C945B0" w:rsidP="00C945B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4FF9" w14:textId="77777777" w:rsidR="001E2FEB" w:rsidRPr="00CC305D" w:rsidRDefault="001E2FEB" w:rsidP="001E2FEB">
    <w:pPr>
      <w:ind w:left="-1350"/>
      <w:rPr>
        <w:rFonts w:ascii="Calibri" w:eastAsia="Calibri" w:hAnsi="Calibri" w:cs="Calibri"/>
        <w:color w:val="000000"/>
        <w:sz w:val="20"/>
      </w:rPr>
    </w:pPr>
    <w:r w:rsidRPr="00CC305D">
      <w:rPr>
        <w:rFonts w:ascii="Calibri" w:eastAsia="Calibri" w:hAnsi="Calibri" w:cs="Calibri"/>
        <w:color w:val="000000"/>
        <w:sz w:val="20"/>
      </w:rPr>
      <w:t>Classification: Public</w:t>
    </w:r>
  </w:p>
  <w:p w14:paraId="3DFD3E20" w14:textId="2359A5B8" w:rsidR="00DB6D60" w:rsidRDefault="00DB6D60" w:rsidP="002B66CE">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1518" w14:textId="77777777" w:rsidR="00DA6427" w:rsidRDefault="00DA6427" w:rsidP="0026233C">
      <w:r>
        <w:separator/>
      </w:r>
    </w:p>
  </w:footnote>
  <w:footnote w:type="continuationSeparator" w:id="0">
    <w:p w14:paraId="2D5A4C0E" w14:textId="77777777" w:rsidR="00DA6427" w:rsidRDefault="00DA6427" w:rsidP="002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3E1F" w14:textId="77777777" w:rsidR="0026233C" w:rsidRDefault="00FC7FD3" w:rsidP="00067E8D">
    <w:pPr>
      <w:pStyle w:val="Header"/>
      <w:ind w:left="-1440"/>
    </w:pPr>
    <w:r>
      <w:rPr>
        <w:noProof/>
      </w:rPr>
      <w:drawing>
        <wp:inline distT="0" distB="0" distL="0" distR="0" wp14:anchorId="3DFD3E23" wp14:editId="3A925DBC">
          <wp:extent cx="7772400" cy="1030223"/>
          <wp:effectExtent l="0" t="0" r="0" b="0"/>
          <wp:docPr id="9" name="Picture 9" descr="FHLBank Boston. Strategic partnerships. Reliable funding. Federal Home Loan Bank of Boston. 800 Boylston Street, Boston, MA 02199. 617-292-9600. Fax: 617-292-9645. www.fhlbbost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HLBank Boston. Strategic partnerships. Reliable funding. Federal Home Loan Bank of Boston. 800 Boylston Street, Boston, MA 02199. 617-292-9600. Fax: 617-292-9645. www.fhlbboston.com"/>
                  <pic:cNvPicPr/>
                </pic:nvPicPr>
                <pic:blipFill>
                  <a:blip r:embed="rId1">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ADC"/>
    <w:multiLevelType w:val="hybridMultilevel"/>
    <w:tmpl w:val="9E580222"/>
    <w:lvl w:ilvl="0" w:tplc="483A3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C7664"/>
    <w:multiLevelType w:val="hybridMultilevel"/>
    <w:tmpl w:val="7236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0B4"/>
    <w:multiLevelType w:val="hybridMultilevel"/>
    <w:tmpl w:val="D728980A"/>
    <w:lvl w:ilvl="0" w:tplc="90F2123C">
      <w:start w:val="3"/>
      <w:numFmt w:val="bullet"/>
      <w:lvlText w:val="•"/>
      <w:lvlJc w:val="left"/>
      <w:pPr>
        <w:ind w:left="1080" w:hanging="720"/>
      </w:pPr>
      <w:rPr>
        <w:rFonts w:ascii="Arial Narrow" w:eastAsia="Time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91DF8"/>
    <w:multiLevelType w:val="hybridMultilevel"/>
    <w:tmpl w:val="F064AC9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B52FB"/>
    <w:multiLevelType w:val="hybridMultilevel"/>
    <w:tmpl w:val="3F52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D41E0"/>
    <w:multiLevelType w:val="hybridMultilevel"/>
    <w:tmpl w:val="C43A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04413"/>
    <w:multiLevelType w:val="hybridMultilevel"/>
    <w:tmpl w:val="F282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964F4"/>
    <w:multiLevelType w:val="hybridMultilevel"/>
    <w:tmpl w:val="4E688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3A89"/>
    <w:multiLevelType w:val="multilevel"/>
    <w:tmpl w:val="07627FB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DDC35D1"/>
    <w:multiLevelType w:val="hybridMultilevel"/>
    <w:tmpl w:val="9A2027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890317">
    <w:abstractNumId w:val="8"/>
  </w:num>
  <w:num w:numId="2" w16cid:durableId="1292899055">
    <w:abstractNumId w:val="5"/>
  </w:num>
  <w:num w:numId="3" w16cid:durableId="918901958">
    <w:abstractNumId w:val="4"/>
  </w:num>
  <w:num w:numId="4" w16cid:durableId="394937663">
    <w:abstractNumId w:val="2"/>
  </w:num>
  <w:num w:numId="5" w16cid:durableId="299457708">
    <w:abstractNumId w:val="3"/>
  </w:num>
  <w:num w:numId="6" w16cid:durableId="1219366424">
    <w:abstractNumId w:val="7"/>
  </w:num>
  <w:num w:numId="7" w16cid:durableId="738669737">
    <w:abstractNumId w:val="1"/>
  </w:num>
  <w:num w:numId="8" w16cid:durableId="1797602611">
    <w:abstractNumId w:val="6"/>
  </w:num>
  <w:num w:numId="9" w16cid:durableId="347369128">
    <w:abstractNumId w:val="9"/>
  </w:num>
  <w:num w:numId="10" w16cid:durableId="130397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3C"/>
    <w:rsid w:val="00035463"/>
    <w:rsid w:val="00067E8D"/>
    <w:rsid w:val="00097357"/>
    <w:rsid w:val="000C0B6C"/>
    <w:rsid w:val="000E55E0"/>
    <w:rsid w:val="00164C0F"/>
    <w:rsid w:val="001A5B6D"/>
    <w:rsid w:val="001C59F2"/>
    <w:rsid w:val="001D2162"/>
    <w:rsid w:val="001E2FEB"/>
    <w:rsid w:val="001F0884"/>
    <w:rsid w:val="0020107C"/>
    <w:rsid w:val="0026233C"/>
    <w:rsid w:val="002A4F17"/>
    <w:rsid w:val="002B66CE"/>
    <w:rsid w:val="00327AB5"/>
    <w:rsid w:val="003B6877"/>
    <w:rsid w:val="003E5CBE"/>
    <w:rsid w:val="00445D61"/>
    <w:rsid w:val="00445F42"/>
    <w:rsid w:val="004558AD"/>
    <w:rsid w:val="00455AF1"/>
    <w:rsid w:val="00462372"/>
    <w:rsid w:val="00492DDC"/>
    <w:rsid w:val="004C3CA3"/>
    <w:rsid w:val="00502DE3"/>
    <w:rsid w:val="00507F12"/>
    <w:rsid w:val="0052520C"/>
    <w:rsid w:val="00536142"/>
    <w:rsid w:val="00562CC3"/>
    <w:rsid w:val="005B28BA"/>
    <w:rsid w:val="005D354B"/>
    <w:rsid w:val="005D5C59"/>
    <w:rsid w:val="005E55BF"/>
    <w:rsid w:val="00623023"/>
    <w:rsid w:val="00624F58"/>
    <w:rsid w:val="00654787"/>
    <w:rsid w:val="006C7BFE"/>
    <w:rsid w:val="00715728"/>
    <w:rsid w:val="0075443A"/>
    <w:rsid w:val="00783F5C"/>
    <w:rsid w:val="007F287E"/>
    <w:rsid w:val="0087583E"/>
    <w:rsid w:val="008A649E"/>
    <w:rsid w:val="00943857"/>
    <w:rsid w:val="00947F4F"/>
    <w:rsid w:val="00A26EEC"/>
    <w:rsid w:val="00A53D96"/>
    <w:rsid w:val="00A734CD"/>
    <w:rsid w:val="00BC7DB0"/>
    <w:rsid w:val="00C307A0"/>
    <w:rsid w:val="00C56F19"/>
    <w:rsid w:val="00C85816"/>
    <w:rsid w:val="00C945B0"/>
    <w:rsid w:val="00CC305D"/>
    <w:rsid w:val="00D14B09"/>
    <w:rsid w:val="00D42E03"/>
    <w:rsid w:val="00DA6427"/>
    <w:rsid w:val="00DB6D60"/>
    <w:rsid w:val="00E3187B"/>
    <w:rsid w:val="00E54823"/>
    <w:rsid w:val="00EA1B65"/>
    <w:rsid w:val="00EA21C8"/>
    <w:rsid w:val="00EE70C5"/>
    <w:rsid w:val="00F21AE9"/>
    <w:rsid w:val="00F54039"/>
    <w:rsid w:val="00FC7FD3"/>
    <w:rsid w:val="03A8D599"/>
    <w:rsid w:val="1FDC46A0"/>
    <w:rsid w:val="298B166C"/>
    <w:rsid w:val="2E5E878F"/>
    <w:rsid w:val="30CD0500"/>
    <w:rsid w:val="32995FB3"/>
    <w:rsid w:val="34C3E34F"/>
    <w:rsid w:val="3B23E23A"/>
    <w:rsid w:val="5A8EF403"/>
    <w:rsid w:val="60B31875"/>
    <w:rsid w:val="7D399414"/>
    <w:rsid w:val="7F94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D3E18"/>
  <w15:chartTrackingRefBased/>
  <w15:docId w15:val="{2ACB416F-3AA3-4EA5-9712-0253DCA7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C8"/>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uiPriority w:val="9"/>
    <w:qFormat/>
    <w:rsid w:val="00C56F19"/>
    <w:pPr>
      <w:jc w:val="center"/>
      <w:outlineLvl w:val="0"/>
    </w:pPr>
    <w:rPr>
      <w:rFonts w:ascii="Arial Narrow" w:hAnsi="Arial Narrow"/>
      <w:b/>
      <w:bCs/>
      <w:sz w:val="38"/>
      <w:szCs w:val="34"/>
    </w:rPr>
  </w:style>
  <w:style w:type="paragraph" w:styleId="Heading2">
    <w:name w:val="heading 2"/>
    <w:basedOn w:val="Normal"/>
    <w:next w:val="Normal"/>
    <w:link w:val="Heading2Char"/>
    <w:uiPriority w:val="9"/>
    <w:unhideWhenUsed/>
    <w:qFormat/>
    <w:rsid w:val="00C56F19"/>
    <w:pPr>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3C"/>
    <w:pPr>
      <w:tabs>
        <w:tab w:val="center" w:pos="4680"/>
        <w:tab w:val="right" w:pos="9360"/>
      </w:tabs>
    </w:pPr>
  </w:style>
  <w:style w:type="character" w:customStyle="1" w:styleId="HeaderChar">
    <w:name w:val="Header Char"/>
    <w:basedOn w:val="DefaultParagraphFont"/>
    <w:link w:val="Header"/>
    <w:uiPriority w:val="99"/>
    <w:rsid w:val="0026233C"/>
  </w:style>
  <w:style w:type="paragraph" w:styleId="Footer">
    <w:name w:val="footer"/>
    <w:basedOn w:val="Normal"/>
    <w:link w:val="FooterChar"/>
    <w:uiPriority w:val="99"/>
    <w:unhideWhenUsed/>
    <w:rsid w:val="0026233C"/>
    <w:pPr>
      <w:tabs>
        <w:tab w:val="center" w:pos="4680"/>
        <w:tab w:val="right" w:pos="9360"/>
      </w:tabs>
    </w:pPr>
  </w:style>
  <w:style w:type="character" w:customStyle="1" w:styleId="FooterChar">
    <w:name w:val="Footer Char"/>
    <w:basedOn w:val="DefaultParagraphFont"/>
    <w:link w:val="Footer"/>
    <w:uiPriority w:val="99"/>
    <w:rsid w:val="0026233C"/>
  </w:style>
  <w:style w:type="character" w:styleId="FootnoteReference">
    <w:name w:val="footnote reference"/>
    <w:semiHidden/>
    <w:rsid w:val="00EA21C8"/>
    <w:rPr>
      <w:vertAlign w:val="superscript"/>
    </w:rPr>
  </w:style>
  <w:style w:type="paragraph" w:styleId="FootnoteText">
    <w:name w:val="footnote text"/>
    <w:basedOn w:val="Normal"/>
    <w:link w:val="FootnoteTextChar"/>
    <w:semiHidden/>
    <w:rsid w:val="00EA21C8"/>
    <w:rPr>
      <w:rFonts w:eastAsia="Times New Roman"/>
      <w:sz w:val="20"/>
    </w:rPr>
  </w:style>
  <w:style w:type="character" w:customStyle="1" w:styleId="FootnoteTextChar">
    <w:name w:val="Footnote Text Char"/>
    <w:basedOn w:val="DefaultParagraphFont"/>
    <w:link w:val="FootnoteText"/>
    <w:semiHidden/>
    <w:rsid w:val="00EA21C8"/>
    <w:rPr>
      <w:rFonts w:ascii="Times New Roman" w:eastAsia="Times New Roman" w:hAnsi="Times New Roman" w:cs="Times New Roman"/>
      <w:sz w:val="20"/>
      <w:szCs w:val="20"/>
    </w:rPr>
  </w:style>
  <w:style w:type="character" w:styleId="Hyperlink">
    <w:name w:val="Hyperlink"/>
    <w:rsid w:val="00EA21C8"/>
    <w:rPr>
      <w:color w:val="0000FF"/>
      <w:u w:val="single"/>
    </w:rPr>
  </w:style>
  <w:style w:type="paragraph" w:styleId="BalloonText">
    <w:name w:val="Balloon Text"/>
    <w:basedOn w:val="Normal"/>
    <w:link w:val="BalloonTextChar"/>
    <w:uiPriority w:val="99"/>
    <w:semiHidden/>
    <w:unhideWhenUsed/>
    <w:rsid w:val="00EA2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C8"/>
    <w:rPr>
      <w:rFonts w:ascii="Segoe UI" w:eastAsia="Times" w:hAnsi="Segoe UI" w:cs="Segoe UI"/>
      <w:sz w:val="18"/>
      <w:szCs w:val="18"/>
    </w:rPr>
  </w:style>
  <w:style w:type="paragraph" w:styleId="ListParagraph">
    <w:name w:val="List Paragraph"/>
    <w:basedOn w:val="Normal"/>
    <w:uiPriority w:val="34"/>
    <w:qFormat/>
    <w:rsid w:val="00327AB5"/>
    <w:pPr>
      <w:ind w:left="720"/>
      <w:contextualSpacing/>
    </w:pPr>
  </w:style>
  <w:style w:type="paragraph" w:customStyle="1" w:styleId="Default">
    <w:name w:val="Default"/>
    <w:rsid w:val="00C945B0"/>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164C0F"/>
    <w:rPr>
      <w:sz w:val="16"/>
      <w:szCs w:val="16"/>
    </w:rPr>
  </w:style>
  <w:style w:type="paragraph" w:styleId="CommentText">
    <w:name w:val="annotation text"/>
    <w:basedOn w:val="Normal"/>
    <w:link w:val="CommentTextChar"/>
    <w:uiPriority w:val="99"/>
    <w:semiHidden/>
    <w:unhideWhenUsed/>
    <w:rsid w:val="00164C0F"/>
    <w:rPr>
      <w:sz w:val="20"/>
    </w:rPr>
  </w:style>
  <w:style w:type="character" w:customStyle="1" w:styleId="CommentTextChar">
    <w:name w:val="Comment Text Char"/>
    <w:basedOn w:val="DefaultParagraphFont"/>
    <w:link w:val="CommentText"/>
    <w:uiPriority w:val="99"/>
    <w:semiHidden/>
    <w:rsid w:val="00164C0F"/>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C0F"/>
    <w:rPr>
      <w:b/>
      <w:bCs/>
    </w:rPr>
  </w:style>
  <w:style w:type="character" w:customStyle="1" w:styleId="CommentSubjectChar">
    <w:name w:val="Comment Subject Char"/>
    <w:basedOn w:val="CommentTextChar"/>
    <w:link w:val="CommentSubject"/>
    <w:uiPriority w:val="99"/>
    <w:semiHidden/>
    <w:rsid w:val="00164C0F"/>
    <w:rPr>
      <w:rFonts w:ascii="Times New Roman" w:eastAsia="Times" w:hAnsi="Times New Roman" w:cs="Times New Roman"/>
      <w:b/>
      <w:bCs/>
      <w:sz w:val="20"/>
      <w:szCs w:val="20"/>
    </w:rPr>
  </w:style>
  <w:style w:type="character" w:customStyle="1" w:styleId="Heading1Char">
    <w:name w:val="Heading 1 Char"/>
    <w:basedOn w:val="DefaultParagraphFont"/>
    <w:link w:val="Heading1"/>
    <w:uiPriority w:val="9"/>
    <w:rsid w:val="00C56F19"/>
    <w:rPr>
      <w:rFonts w:ascii="Arial Narrow" w:eastAsia="Times" w:hAnsi="Arial Narrow" w:cs="Times New Roman"/>
      <w:b/>
      <w:bCs/>
      <w:sz w:val="38"/>
      <w:szCs w:val="34"/>
    </w:rPr>
  </w:style>
  <w:style w:type="character" w:customStyle="1" w:styleId="Heading2Char">
    <w:name w:val="Heading 2 Char"/>
    <w:basedOn w:val="DefaultParagraphFont"/>
    <w:link w:val="Heading2"/>
    <w:uiPriority w:val="9"/>
    <w:rsid w:val="00C56F19"/>
    <w:rPr>
      <w:rFonts w:ascii="Arial Narrow" w:eastAsia="Times" w:hAnsi="Arial Narrow"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97562FBC47F4986656660080879A6" ma:contentTypeVersion="13" ma:contentTypeDescription="Create a new document." ma:contentTypeScope="" ma:versionID="24f7d82b1e0fa5093778cf503afbf34d">
  <xsd:schema xmlns:xsd="http://www.w3.org/2001/XMLSchema" xmlns:xs="http://www.w3.org/2001/XMLSchema" xmlns:p="http://schemas.microsoft.com/office/2006/metadata/properties" xmlns:ns2="64ba8e76-5405-4fed-afaf-3b9f67c76afe" xmlns:ns3="1670c134-d33a-48ac-a346-71b25c8ee18e" xmlns:ns4="1ffbc1ae-6d8f-4bf8-ad50-f38f25cf9450" targetNamespace="http://schemas.microsoft.com/office/2006/metadata/properties" ma:root="true" ma:fieldsID="be41ad341b3232b1b56b8033804c86a3" ns2:_="" ns3:_="" ns4:_="">
    <xsd:import namespace="64ba8e76-5405-4fed-afaf-3b9f67c76afe"/>
    <xsd:import namespace="1670c134-d33a-48ac-a346-71b25c8ee18e"/>
    <xsd:import namespace="1ffbc1ae-6d8f-4bf8-ad50-f38f25cf94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8e76-5405-4fed-afaf-3b9f67c76a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70c134-d33a-48ac-a346-71b25c8ee1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bc1ae-6d8f-4bf8-ad50-f38f25cf94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0FD4-240E-411C-8AEA-F92B800AC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8e76-5405-4fed-afaf-3b9f67c76afe"/>
    <ds:schemaRef ds:uri="1670c134-d33a-48ac-a346-71b25c8ee18e"/>
    <ds:schemaRef ds:uri="1ffbc1ae-6d8f-4bf8-ad50-f38f25cf9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AF735-DE3B-4294-B652-161AAD062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92FBCE-B8C7-406E-A12B-633F587B7156}">
  <ds:schemaRefs>
    <ds:schemaRef ds:uri="http://schemas.microsoft.com/sharepoint/events"/>
  </ds:schemaRefs>
</ds:datastoreItem>
</file>

<file path=customXml/itemProps4.xml><?xml version="1.0" encoding="utf-8"?>
<ds:datastoreItem xmlns:ds="http://schemas.openxmlformats.org/officeDocument/2006/customXml" ds:itemID="{09440BCD-7595-4F35-A009-7F806C156DC9}">
  <ds:schemaRefs>
    <ds:schemaRef ds:uri="http://schemas.microsoft.com/sharepoint/v3/contenttype/forms"/>
  </ds:schemaRefs>
</ds:datastoreItem>
</file>

<file path=customXml/itemProps5.xml><?xml version="1.0" encoding="utf-8"?>
<ds:datastoreItem xmlns:ds="http://schemas.openxmlformats.org/officeDocument/2006/customXml" ds:itemID="{DB8D9E99-6884-4287-A379-399F1873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 Member of Board of Directors</vt:lpstr>
    </vt:vector>
  </TitlesOfParts>
  <Company>Federal Home Loan Bank of Boston</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Member of Board of Directors</dc:title>
  <dc:subject>Position Description: Member of Board of Directors</dc:subject>
  <dc:creator>Federal Home Loan Bank of Boston</dc:creator>
  <cp:keywords>Duties and Responsibilities; Board Knowledge/Skills; 2022 Priorities; Experience; Eligibility Requirements</cp:keywords>
  <dc:description/>
  <cp:lastModifiedBy>CommonLook Remediation Team</cp:lastModifiedBy>
  <cp:revision>8</cp:revision>
  <dcterms:created xsi:type="dcterms:W3CDTF">2022-05-25T12:34:00Z</dcterms:created>
  <dcterms:modified xsi:type="dcterms:W3CDTF">2022-05-26T17:20:00Z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0x010100AF397562FBC47F4986656660080879A6</vt:lpwstr>
  </property>
  <property fmtid="{D5CDD505-2E9C-101B-9397-08002B2CF9AE}" pid="3" name="MSIP_Label_7de4954d-183d-4336-8c4a-8931eade27db_Enabled">
    <vt:lpwstr>True</vt:lpwstr>
  </property>
  <property fmtid="{D5CDD505-2E9C-101B-9397-08002B2CF9AE}" pid="4" name="MSIP_Label_7de4954d-183d-4336-8c4a-8931eade27db_SiteId">
    <vt:lpwstr>4277c4fa-2220-43f3-857b-669253628fb3</vt:lpwstr>
  </property>
  <property fmtid="{D5CDD505-2E9C-101B-9397-08002B2CF9AE}" pid="5" name="MSIP_Label_7de4954d-183d-4336-8c4a-8931eade27db_Owner">
    <vt:lpwstr>carol.pratt@fhlbboston.com</vt:lpwstr>
  </property>
  <property fmtid="{D5CDD505-2E9C-101B-9397-08002B2CF9AE}" pid="6" name="MSIP_Label_7de4954d-183d-4336-8c4a-8931eade27db_SetDate">
    <vt:lpwstr>2019-10-30T16:33:21.6595748Z</vt:lpwstr>
  </property>
  <property fmtid="{D5CDD505-2E9C-101B-9397-08002B2CF9AE}" pid="7" name="MSIP_Label_7de4954d-183d-4336-8c4a-8931eade27db_Name">
    <vt:lpwstr>Confidential</vt:lpwstr>
  </property>
  <property fmtid="{D5CDD505-2E9C-101B-9397-08002B2CF9AE}" pid="8" name="MSIP_Label_7de4954d-183d-4336-8c4a-8931eade27db_Application">
    <vt:lpwstr>Microsoft Azure Information Protection</vt:lpwstr>
  </property>
  <property fmtid="{D5CDD505-2E9C-101B-9397-08002B2CF9AE}" pid="9" name="MSIP_Label_7de4954d-183d-4336-8c4a-8931eade27db_Extended_MSFT_Method">
    <vt:lpwstr>Manual</vt:lpwstr>
  </property>
  <property fmtid="{D5CDD505-2E9C-101B-9397-08002B2CF9AE}" pid="10" name="Functional Area">
    <vt:lpwstr>2;#Committees|23aa36df-9a62-446d-9de6-4564a9c4a40a</vt:lpwstr>
  </property>
  <property fmtid="{D5CDD505-2E9C-101B-9397-08002B2CF9AE}" pid="11" name="Department Name">
    <vt:lpwstr>1;#Management|e1db7f67-839e-403a-86d9-85a4e0d9e61c</vt:lpwstr>
  </property>
  <property fmtid="{D5CDD505-2E9C-101B-9397-08002B2CF9AE}" pid="12" name="Committee">
    <vt:lpwstr>Governance</vt:lpwstr>
  </property>
  <property fmtid="{D5CDD505-2E9C-101B-9397-08002B2CF9AE}" pid="13" name="ClassificationContentMarkingFooterShapeIds">
    <vt:lpwstr>3,4,5</vt:lpwstr>
  </property>
  <property fmtid="{D5CDD505-2E9C-101B-9397-08002B2CF9AE}" pid="14" name="ClassificationContentMarkingFooterFontProps">
    <vt:lpwstr>#000000,10,Calibri</vt:lpwstr>
  </property>
  <property fmtid="{D5CDD505-2E9C-101B-9397-08002B2CF9AE}" pid="15" name="ClassificationContentMarkingFooterText">
    <vt:lpwstr>Classification: Public</vt:lpwstr>
  </property>
  <property fmtid="{D5CDD505-2E9C-101B-9397-08002B2CF9AE}" pid="16" name="MSIP_Label_f1562fdd-1b3b-4eb6-8cab-8ccd495854db_Enabled">
    <vt:lpwstr>true</vt:lpwstr>
  </property>
  <property fmtid="{D5CDD505-2E9C-101B-9397-08002B2CF9AE}" pid="17" name="MSIP_Label_f1562fdd-1b3b-4eb6-8cab-8ccd495854db_SetDate">
    <vt:lpwstr>2022-05-23T14:05:02Z</vt:lpwstr>
  </property>
  <property fmtid="{D5CDD505-2E9C-101B-9397-08002B2CF9AE}" pid="18" name="MSIP_Label_f1562fdd-1b3b-4eb6-8cab-8ccd495854db_Method">
    <vt:lpwstr>Privileged</vt:lpwstr>
  </property>
  <property fmtid="{D5CDD505-2E9C-101B-9397-08002B2CF9AE}" pid="19" name="MSIP_Label_f1562fdd-1b3b-4eb6-8cab-8ccd495854db_Name">
    <vt:lpwstr>f1562fdd-1b3b-4eb6-8cab-8ccd495854db</vt:lpwstr>
  </property>
  <property fmtid="{D5CDD505-2E9C-101B-9397-08002B2CF9AE}" pid="20" name="MSIP_Label_f1562fdd-1b3b-4eb6-8cab-8ccd495854db_SiteId">
    <vt:lpwstr>4277c4fa-2220-43f3-857b-669253628fb3</vt:lpwstr>
  </property>
  <property fmtid="{D5CDD505-2E9C-101B-9397-08002B2CF9AE}" pid="21" name="MSIP_Label_f1562fdd-1b3b-4eb6-8cab-8ccd495854db_ActionId">
    <vt:lpwstr>aa88f0ff-f24a-4b3e-a5ec-b5b816c750a6</vt:lpwstr>
  </property>
  <property fmtid="{D5CDD505-2E9C-101B-9397-08002B2CF9AE}" pid="22" name="MSIP_Label_f1562fdd-1b3b-4eb6-8cab-8ccd495854db_ContentBits">
    <vt:lpwstr>2</vt:lpwstr>
  </property>
  <property fmtid="{D5CDD505-2E9C-101B-9397-08002B2CF9AE}" pid="23" name="MSIP_Label_47be77f1-4528-4db5-ab40-d1357b209c55_Enabled">
    <vt:lpwstr>True</vt:lpwstr>
  </property>
  <property fmtid="{D5CDD505-2E9C-101B-9397-08002B2CF9AE}" pid="24" name="MSIP_Label_47be77f1-4528-4db5-ab40-d1357b209c55_SiteId">
    <vt:lpwstr>4277c4fa-2220-43f3-857b-669253628fb3</vt:lpwstr>
  </property>
  <property fmtid="{D5CDD505-2E9C-101B-9397-08002B2CF9AE}" pid="25" name="MSIP_Label_47be77f1-4528-4db5-ab40-d1357b209c55_SetDate">
    <vt:lpwstr>2019-10-30T16:33:21.6595748Z</vt:lpwstr>
  </property>
  <property fmtid="{D5CDD505-2E9C-101B-9397-08002B2CF9AE}" pid="26" name="MSIP_Label_47be77f1-4528-4db5-ab40-d1357b209c55_Extended_MSFT_Method">
    <vt:lpwstr>Manual</vt:lpwstr>
  </property>
  <property fmtid="{D5CDD505-2E9C-101B-9397-08002B2CF9AE}" pid="27" name="MSIP_Label_47be77f1-4528-4db5-ab40-d1357b209c55_Name">
    <vt:lpwstr>Legal - Markings</vt:lpwstr>
  </property>
  <property fmtid="{D5CDD505-2E9C-101B-9397-08002B2CF9AE}" pid="28" name="Sensitivity">
    <vt:lpwstr>Confidential Legal - Markings</vt:lpwstr>
  </property>
</Properties>
</file>